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75" w:rsidRDefault="00C81575" w:rsidP="00C81575">
      <w:pPr>
        <w:pStyle w:val="Heading1"/>
      </w:pPr>
      <w:r>
        <w:t>Appendix 1</w:t>
      </w:r>
    </w:p>
    <w:p w:rsidR="00C81575" w:rsidRPr="009C6E53" w:rsidRDefault="00C81575" w:rsidP="00C81575">
      <w:pPr>
        <w:pStyle w:val="Heading2"/>
      </w:pPr>
      <w:r>
        <w:t xml:space="preserve">Workplace risk assessment </w:t>
      </w:r>
    </w:p>
    <w:tbl>
      <w:tblPr>
        <w:tblStyle w:val="TableGrid"/>
        <w:tblW w:w="0" w:type="auto"/>
        <w:tblLook w:val="04A0" w:firstRow="1" w:lastRow="0" w:firstColumn="1" w:lastColumn="0" w:noHBand="0" w:noVBand="1"/>
      </w:tblPr>
      <w:tblGrid>
        <w:gridCol w:w="3604"/>
        <w:gridCol w:w="5297"/>
      </w:tblGrid>
      <w:tr w:rsidR="00C81575" w:rsidTr="00326CDA">
        <w:tc>
          <w:tcPr>
            <w:tcW w:w="10194" w:type="dxa"/>
            <w:gridSpan w:val="2"/>
            <w:shd w:val="clear" w:color="auto" w:fill="1F497D" w:themeFill="text2"/>
          </w:tcPr>
          <w:p w:rsidR="00C81575" w:rsidRPr="00A966C6" w:rsidRDefault="00C81575" w:rsidP="00326CDA">
            <w:pPr>
              <w:pStyle w:val="DHHSbody"/>
              <w:rPr>
                <w:b/>
                <w:color w:val="FFFFFF" w:themeColor="background1"/>
              </w:rPr>
            </w:pPr>
            <w:r>
              <w:rPr>
                <w:b/>
                <w:color w:val="FFFFFF" w:themeColor="background1"/>
              </w:rPr>
              <w:t>Workplace risk assessment</w:t>
            </w:r>
          </w:p>
        </w:tc>
      </w:tr>
      <w:tr w:rsidR="00C81575" w:rsidTr="00326CDA">
        <w:tc>
          <w:tcPr>
            <w:tcW w:w="10194" w:type="dxa"/>
            <w:gridSpan w:val="2"/>
            <w:shd w:val="clear" w:color="auto" w:fill="8DB3E2" w:themeFill="text2" w:themeFillTint="66"/>
          </w:tcPr>
          <w:p w:rsidR="00C81575" w:rsidRPr="00A966C6" w:rsidRDefault="00C81575" w:rsidP="00326CDA">
            <w:pPr>
              <w:pStyle w:val="DHHSbody"/>
              <w:rPr>
                <w:b/>
              </w:rPr>
            </w:pPr>
            <w:r w:rsidRPr="00A966C6">
              <w:rPr>
                <w:b/>
                <w:bCs/>
              </w:rPr>
              <w:t xml:space="preserve">Information about the </w:t>
            </w:r>
            <w:r>
              <w:rPr>
                <w:b/>
                <w:bCs/>
              </w:rPr>
              <w:t>case(s)</w:t>
            </w:r>
          </w:p>
        </w:tc>
      </w:tr>
      <w:tr w:rsidR="00C81575" w:rsidTr="00326CDA">
        <w:tc>
          <w:tcPr>
            <w:tcW w:w="3964" w:type="dxa"/>
          </w:tcPr>
          <w:p w:rsidR="00C81575" w:rsidRDefault="00C81575" w:rsidP="00326CDA">
            <w:pPr>
              <w:pStyle w:val="DHHSbody"/>
            </w:pPr>
            <w:r>
              <w:t xml:space="preserve">Determine the infectious period </w:t>
            </w:r>
            <w:r w:rsidRPr="009B6D79">
              <w:rPr>
                <w:i/>
                <w:iCs/>
              </w:rPr>
              <w:t>The infectious period is taken as 48 hours before symptom onset.</w:t>
            </w:r>
            <w:r w:rsidRPr="68B3F251">
              <w:rPr>
                <w:rFonts w:eastAsia="Arial" w:cs="Arial"/>
                <w:sz w:val="22"/>
                <w:szCs w:val="22"/>
              </w:rPr>
              <w:t xml:space="preserve"> </w:t>
            </w:r>
          </w:p>
          <w:p w:rsidR="00C81575" w:rsidRDefault="00C81575" w:rsidP="00326CDA">
            <w:pPr>
              <w:pStyle w:val="DHHSbody"/>
            </w:pPr>
            <w:r w:rsidRPr="68B3F251">
              <w:rPr>
                <w:rFonts w:eastAsia="Arial" w:cs="Arial"/>
                <w:sz w:val="22"/>
                <w:szCs w:val="22"/>
              </w:rPr>
              <w:t>Find out when the individual developed symptoms.</w:t>
            </w:r>
            <w:r>
              <w:t xml:space="preserve"> If they did not have symptoms, the infectious period commences 48 hours prior to when the test (swab) was taken.</w:t>
            </w:r>
          </w:p>
        </w:tc>
        <w:tc>
          <w:tcPr>
            <w:tcW w:w="6230" w:type="dxa"/>
          </w:tcPr>
          <w:p w:rsidR="00C81575" w:rsidRDefault="00C81575" w:rsidP="00326CDA">
            <w:pPr>
              <w:pStyle w:val="DHHSbody"/>
            </w:pPr>
          </w:p>
        </w:tc>
      </w:tr>
      <w:tr w:rsidR="00C81575" w:rsidTr="00326CDA">
        <w:trPr>
          <w:trHeight w:val="50"/>
        </w:trPr>
        <w:tc>
          <w:tcPr>
            <w:tcW w:w="3964" w:type="dxa"/>
          </w:tcPr>
          <w:p w:rsidR="00C81575" w:rsidRDefault="00C81575" w:rsidP="00326CDA">
            <w:pPr>
              <w:pStyle w:val="DHHSbody"/>
            </w:pPr>
            <w:r>
              <w:t>Determine the possible exposure times. Dates and times individual(s) attended the workplace during their infectious period.</w:t>
            </w:r>
          </w:p>
        </w:tc>
        <w:tc>
          <w:tcPr>
            <w:tcW w:w="6230" w:type="dxa"/>
          </w:tcPr>
          <w:p w:rsidR="00C81575" w:rsidRDefault="00C81575" w:rsidP="00326CDA">
            <w:pPr>
              <w:pStyle w:val="DHHSbody"/>
            </w:pPr>
          </w:p>
        </w:tc>
      </w:tr>
      <w:tr w:rsidR="00C81575" w:rsidTr="00326CDA">
        <w:trPr>
          <w:trHeight w:val="983"/>
        </w:trPr>
        <w:tc>
          <w:tcPr>
            <w:tcW w:w="3964" w:type="dxa"/>
          </w:tcPr>
          <w:p w:rsidR="00C81575" w:rsidRDefault="00C81575" w:rsidP="00326CDA">
            <w:pPr>
              <w:pStyle w:val="DHHSbody"/>
            </w:pPr>
            <w:r>
              <w:t>Determine the work area or sites used by the individual during those times:</w:t>
            </w:r>
          </w:p>
          <w:p w:rsidR="00C81575" w:rsidRDefault="00C81575" w:rsidP="00326CDA">
            <w:pPr>
              <w:pStyle w:val="DHHSbullet1"/>
              <w:tabs>
                <w:tab w:val="clear" w:pos="360"/>
              </w:tabs>
              <w:ind w:left="284" w:hanging="284"/>
            </w:pPr>
            <w:r>
              <w:t>Where possible, include approximate duration of time spent in each location or area within a site (e.g. specific rooms or spaces within a larger building, whether enclosed or outdoors etc.).</w:t>
            </w:r>
          </w:p>
          <w:p w:rsidR="00C81575" w:rsidRDefault="00C81575" w:rsidP="00326CDA">
            <w:pPr>
              <w:pStyle w:val="DHHSbullet1"/>
              <w:tabs>
                <w:tab w:val="clear" w:pos="360"/>
              </w:tabs>
              <w:ind w:left="284" w:hanging="284"/>
            </w:pPr>
            <w:r>
              <w:t>Were there any areas where it is less likely the individual was able to physically distance from others?</w:t>
            </w:r>
          </w:p>
        </w:tc>
        <w:tc>
          <w:tcPr>
            <w:tcW w:w="6230" w:type="dxa"/>
          </w:tcPr>
          <w:p w:rsidR="00C81575" w:rsidRDefault="00C81575" w:rsidP="00326CDA">
            <w:pPr>
              <w:pStyle w:val="DHHSbody"/>
            </w:pPr>
          </w:p>
        </w:tc>
      </w:tr>
      <w:tr w:rsidR="00C81575" w:rsidTr="00326CDA">
        <w:trPr>
          <w:trHeight w:val="1260"/>
        </w:trPr>
        <w:tc>
          <w:tcPr>
            <w:tcW w:w="3964" w:type="dxa"/>
          </w:tcPr>
          <w:p w:rsidR="00C81575" w:rsidRDefault="00C81575" w:rsidP="00326CDA">
            <w:pPr>
              <w:pStyle w:val="DHHSbody"/>
            </w:pPr>
            <w:r>
              <w:t>Communal facilities or shared areas used or likely to have been used by the individual (e.g. hallways, lifts, bathrooms, tea rooms, kitchens, meeting rooms etc.).</w:t>
            </w:r>
          </w:p>
        </w:tc>
        <w:tc>
          <w:tcPr>
            <w:tcW w:w="6230" w:type="dxa"/>
          </w:tcPr>
          <w:p w:rsidR="00C81575" w:rsidRDefault="00C81575" w:rsidP="00326CDA">
            <w:pPr>
              <w:pStyle w:val="DHHSbody"/>
            </w:pPr>
          </w:p>
        </w:tc>
      </w:tr>
      <w:tr w:rsidR="00C81575" w:rsidTr="00326CDA">
        <w:trPr>
          <w:trHeight w:val="696"/>
        </w:trPr>
        <w:tc>
          <w:tcPr>
            <w:tcW w:w="3964" w:type="dxa"/>
          </w:tcPr>
          <w:p w:rsidR="00C81575" w:rsidRDefault="00C81575" w:rsidP="00326CDA">
            <w:pPr>
              <w:pStyle w:val="DHHSbody"/>
            </w:pPr>
            <w:r>
              <w:t>Food and drink outlets or onsite shops used by the individual.</w:t>
            </w:r>
          </w:p>
        </w:tc>
        <w:tc>
          <w:tcPr>
            <w:tcW w:w="6230" w:type="dxa"/>
          </w:tcPr>
          <w:p w:rsidR="00C81575" w:rsidRDefault="00C81575" w:rsidP="00326CDA">
            <w:pPr>
              <w:pStyle w:val="DHHSbody"/>
            </w:pPr>
          </w:p>
        </w:tc>
      </w:tr>
      <w:tr w:rsidR="00C81575" w:rsidTr="00326CDA">
        <w:trPr>
          <w:trHeight w:val="696"/>
        </w:trPr>
        <w:tc>
          <w:tcPr>
            <w:tcW w:w="3964" w:type="dxa"/>
          </w:tcPr>
          <w:p w:rsidR="00C81575" w:rsidRDefault="00C81575" w:rsidP="00326CDA">
            <w:pPr>
              <w:pStyle w:val="DHHSbody"/>
            </w:pPr>
            <w:r>
              <w:t>Assess if there has been close contact by the case with others on breaks (including smoking breaks), before and after work, in car parks and in transit to and from work (e.g. carpooling). Close contact in these circumstances will also determine whether a person is a close contact.</w:t>
            </w:r>
          </w:p>
        </w:tc>
        <w:tc>
          <w:tcPr>
            <w:tcW w:w="6230" w:type="dxa"/>
          </w:tcPr>
          <w:p w:rsidR="00C81575" w:rsidRDefault="00C81575" w:rsidP="00326CDA">
            <w:pPr>
              <w:pStyle w:val="DHHSbody"/>
            </w:pPr>
          </w:p>
        </w:tc>
      </w:tr>
      <w:tr w:rsidR="00C81575" w:rsidTr="00326CDA">
        <w:trPr>
          <w:trHeight w:val="195"/>
        </w:trPr>
        <w:tc>
          <w:tcPr>
            <w:tcW w:w="10194" w:type="dxa"/>
            <w:gridSpan w:val="2"/>
            <w:shd w:val="clear" w:color="auto" w:fill="8DB3E2" w:themeFill="text2" w:themeFillTint="66"/>
          </w:tcPr>
          <w:p w:rsidR="00C81575" w:rsidRPr="007C6F76" w:rsidRDefault="00C81575" w:rsidP="00326CDA">
            <w:pPr>
              <w:pStyle w:val="DHHSbody"/>
              <w:rPr>
                <w:b/>
                <w:bCs/>
              </w:rPr>
            </w:pPr>
            <w:r w:rsidRPr="007C6F76">
              <w:rPr>
                <w:b/>
                <w:bCs/>
              </w:rPr>
              <w:t>Temporal factors</w:t>
            </w:r>
          </w:p>
        </w:tc>
      </w:tr>
      <w:tr w:rsidR="00C81575" w:rsidTr="00326CDA">
        <w:trPr>
          <w:trHeight w:val="696"/>
        </w:trPr>
        <w:tc>
          <w:tcPr>
            <w:tcW w:w="3964" w:type="dxa"/>
          </w:tcPr>
          <w:p w:rsidR="00C81575" w:rsidRDefault="00C81575" w:rsidP="00326CDA">
            <w:pPr>
              <w:pStyle w:val="DHHSbody"/>
            </w:pPr>
            <w:r>
              <w:lastRenderedPageBreak/>
              <w:t>Assess the timing and shifts worked by the case. Determine how many people may have been exposed to the case. Was there a crossover (contamination) between the shift the case worked and the shift before/after? Are there household contacts of the case on other shifts?</w:t>
            </w:r>
          </w:p>
        </w:tc>
        <w:tc>
          <w:tcPr>
            <w:tcW w:w="6230" w:type="dxa"/>
          </w:tcPr>
          <w:p w:rsidR="00C81575" w:rsidRDefault="00C81575" w:rsidP="00326CDA">
            <w:pPr>
              <w:pStyle w:val="DHHSbody"/>
            </w:pPr>
          </w:p>
        </w:tc>
      </w:tr>
      <w:tr w:rsidR="00C81575" w:rsidTr="00326CDA">
        <w:tc>
          <w:tcPr>
            <w:tcW w:w="10194" w:type="dxa"/>
            <w:gridSpan w:val="2"/>
            <w:shd w:val="clear" w:color="auto" w:fill="8DB3E2" w:themeFill="text2" w:themeFillTint="66"/>
          </w:tcPr>
          <w:p w:rsidR="00C81575" w:rsidRPr="00026124" w:rsidRDefault="00C81575" w:rsidP="00326CDA">
            <w:pPr>
              <w:pStyle w:val="DHHSbody"/>
              <w:rPr>
                <w:b/>
                <w:bCs/>
              </w:rPr>
            </w:pPr>
            <w:r>
              <w:rPr>
                <w:b/>
                <w:bCs/>
              </w:rPr>
              <w:t>Work site layout</w:t>
            </w:r>
          </w:p>
        </w:tc>
      </w:tr>
      <w:tr w:rsidR="00C81575" w:rsidTr="00326CDA">
        <w:trPr>
          <w:trHeight w:val="50"/>
        </w:trPr>
        <w:tc>
          <w:tcPr>
            <w:tcW w:w="3964" w:type="dxa"/>
          </w:tcPr>
          <w:p w:rsidR="00C81575" w:rsidRDefault="00C81575" w:rsidP="00326CDA">
            <w:pPr>
              <w:pStyle w:val="DHHSbody"/>
            </w:pPr>
            <w:r>
              <w:t xml:space="preserve">Can the area used by the individual be reliably closed for cleaning whilst maintaining operations in another part of the worksite? </w:t>
            </w:r>
          </w:p>
        </w:tc>
        <w:tc>
          <w:tcPr>
            <w:tcW w:w="6230" w:type="dxa"/>
          </w:tcPr>
          <w:p w:rsidR="00C81575" w:rsidRDefault="00C81575" w:rsidP="00326CDA">
            <w:pPr>
              <w:pStyle w:val="DHHSbody"/>
            </w:pPr>
          </w:p>
        </w:tc>
      </w:tr>
      <w:tr w:rsidR="00C81575" w:rsidTr="00326CDA">
        <w:tc>
          <w:tcPr>
            <w:tcW w:w="10194" w:type="dxa"/>
            <w:gridSpan w:val="2"/>
            <w:shd w:val="clear" w:color="auto" w:fill="8DB3E2" w:themeFill="text2" w:themeFillTint="66"/>
          </w:tcPr>
          <w:p w:rsidR="00C81575" w:rsidRPr="00EC1370" w:rsidRDefault="00C81575" w:rsidP="00326CDA">
            <w:pPr>
              <w:pStyle w:val="DHHSbody"/>
              <w:rPr>
                <w:b/>
              </w:rPr>
            </w:pPr>
            <w:r w:rsidRPr="00EC1370">
              <w:rPr>
                <w:b/>
                <w:bCs/>
              </w:rPr>
              <w:t>Other site considerations</w:t>
            </w:r>
          </w:p>
        </w:tc>
      </w:tr>
      <w:tr w:rsidR="00C81575" w:rsidTr="00326CDA">
        <w:trPr>
          <w:trHeight w:val="2804"/>
        </w:trPr>
        <w:tc>
          <w:tcPr>
            <w:tcW w:w="3964" w:type="dxa"/>
          </w:tcPr>
          <w:p w:rsidR="00C81575" w:rsidRDefault="00C81575" w:rsidP="00326CDA">
            <w:pPr>
              <w:pStyle w:val="DHHSbody"/>
            </w:pPr>
            <w:r>
              <w:t>I</w:t>
            </w:r>
            <w:r w:rsidRPr="10F88E43">
              <w:t>dentif</w:t>
            </w:r>
            <w:r>
              <w:t xml:space="preserve">y any unique site management requirements. </w:t>
            </w:r>
          </w:p>
          <w:p w:rsidR="00C81575" w:rsidRPr="00EB4B58" w:rsidRDefault="00C81575" w:rsidP="00326CDA">
            <w:pPr>
              <w:pStyle w:val="DHHSbody"/>
            </w:pPr>
            <w:r>
              <w:t>For example:</w:t>
            </w:r>
          </w:p>
          <w:p w:rsidR="00C81575" w:rsidRDefault="00C81575" w:rsidP="00326CDA">
            <w:pPr>
              <w:pStyle w:val="DHHSbullet1"/>
              <w:tabs>
                <w:tab w:val="clear" w:pos="360"/>
              </w:tabs>
              <w:ind w:left="284" w:hanging="284"/>
            </w:pPr>
            <w:r>
              <w:t>A</w:t>
            </w:r>
            <w:r w:rsidRPr="10F88E43">
              <w:t>nimal</w:t>
            </w:r>
            <w:r>
              <w:t xml:space="preserve"> welfare and management considerations associated with site closure and/or cleaning.</w:t>
            </w:r>
          </w:p>
          <w:p w:rsidR="00C81575" w:rsidRDefault="00C81575" w:rsidP="00326CDA">
            <w:pPr>
              <w:pStyle w:val="DHHSbullet1"/>
              <w:tabs>
                <w:tab w:val="clear" w:pos="360"/>
              </w:tabs>
              <w:ind w:left="284" w:hanging="284"/>
            </w:pPr>
            <w:r>
              <w:t>R</w:t>
            </w:r>
            <w:r w:rsidRPr="10F88E43">
              <w:t>equirement</w:t>
            </w:r>
            <w:r>
              <w:t xml:space="preserve"> of exposed key workers to carry out vital tasks to keep essential services running.</w:t>
            </w:r>
          </w:p>
          <w:p w:rsidR="00C81575" w:rsidRPr="10F88E43" w:rsidRDefault="00C81575" w:rsidP="00326CDA">
            <w:pPr>
              <w:pStyle w:val="DHHSbullet1"/>
              <w:tabs>
                <w:tab w:val="clear" w:pos="360"/>
              </w:tabs>
              <w:ind w:left="284" w:hanging="284"/>
            </w:pPr>
            <w:r>
              <w:t>Critical need for workplace to remain open.</w:t>
            </w:r>
          </w:p>
        </w:tc>
        <w:tc>
          <w:tcPr>
            <w:tcW w:w="6230" w:type="dxa"/>
          </w:tcPr>
          <w:p w:rsidR="00C81575" w:rsidRDefault="00C81575" w:rsidP="00326CDA">
            <w:pPr>
              <w:pStyle w:val="DHHSbody"/>
            </w:pPr>
          </w:p>
        </w:tc>
      </w:tr>
    </w:tbl>
    <w:p w:rsidR="000930CB" w:rsidRDefault="000930CB">
      <w:bookmarkStart w:id="0" w:name="_GoBack"/>
      <w:bookmarkEnd w:id="0"/>
    </w:p>
    <w:sectPr w:rsidR="000930CB" w:rsidSect="00056486">
      <w:pgSz w:w="11905" w:h="16837"/>
      <w:pgMar w:top="1440" w:right="1542" w:bottom="862" w:left="1678" w:header="0" w:footer="66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heSans Light Plain">
    <w:panose1 w:val="020005030500000200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E5A"/>
    <w:multiLevelType w:val="multilevel"/>
    <w:tmpl w:val="305A4A9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75"/>
    <w:rsid w:val="00056486"/>
    <w:rsid w:val="000930CB"/>
    <w:rsid w:val="00C8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F8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Sans Light Plain" w:eastAsiaTheme="minorEastAsia" w:hAnsi="TheSans Light Plain"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1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1"/>
    <w:rsid w:val="00C81575"/>
    <w:rPr>
      <w:rFonts w:ascii="Cambria" w:eastAsia="Times New Roman" w:hAnsi="Cambria" w:cs="Times New Roman"/>
      <w:sz w:val="20"/>
      <w:szCs w:val="20"/>
    </w:rPr>
  </w:style>
  <w:style w:type="paragraph" w:styleId="Heading1">
    <w:name w:val="heading 1"/>
    <w:next w:val="DHHSbody"/>
    <w:link w:val="Heading1Char"/>
    <w:uiPriority w:val="1"/>
    <w:qFormat/>
    <w:rsid w:val="00C81575"/>
    <w:pPr>
      <w:keepNext/>
      <w:keepLines/>
      <w:spacing w:before="320" w:after="200" w:line="440" w:lineRule="atLeast"/>
      <w:outlineLvl w:val="0"/>
    </w:pPr>
    <w:rPr>
      <w:rFonts w:ascii="Arial" w:eastAsia="MS Gothic" w:hAnsi="Arial" w:cs="Arial"/>
      <w:bCs/>
      <w:color w:val="201547"/>
      <w:kern w:val="32"/>
      <w:sz w:val="36"/>
      <w:szCs w:val="40"/>
    </w:rPr>
  </w:style>
  <w:style w:type="paragraph" w:styleId="Heading2">
    <w:name w:val="heading 2"/>
    <w:next w:val="DHHSbody"/>
    <w:link w:val="Heading2Char"/>
    <w:uiPriority w:val="1"/>
    <w:qFormat/>
    <w:rsid w:val="00C81575"/>
    <w:pPr>
      <w:keepNext/>
      <w:keepLines/>
      <w:spacing w:before="240" w:after="90" w:line="320" w:lineRule="atLeast"/>
      <w:outlineLvl w:val="1"/>
    </w:pPr>
    <w:rPr>
      <w:rFonts w:ascii="Arial" w:eastAsia="Times New Roman" w:hAnsi="Arial" w:cs="Times New Roman"/>
      <w:b/>
      <w:color w:val="20154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1575"/>
    <w:rPr>
      <w:rFonts w:ascii="Arial" w:eastAsia="MS Gothic" w:hAnsi="Arial" w:cs="Arial"/>
      <w:bCs/>
      <w:color w:val="201547"/>
      <w:kern w:val="32"/>
      <w:sz w:val="36"/>
      <w:szCs w:val="40"/>
    </w:rPr>
  </w:style>
  <w:style w:type="character" w:customStyle="1" w:styleId="Heading2Char">
    <w:name w:val="Heading 2 Char"/>
    <w:basedOn w:val="DefaultParagraphFont"/>
    <w:link w:val="Heading2"/>
    <w:uiPriority w:val="1"/>
    <w:rsid w:val="00C81575"/>
    <w:rPr>
      <w:rFonts w:ascii="Arial" w:eastAsia="Times New Roman" w:hAnsi="Arial" w:cs="Times New Roman"/>
      <w:b/>
      <w:color w:val="201547"/>
      <w:sz w:val="28"/>
      <w:szCs w:val="28"/>
    </w:rPr>
  </w:style>
  <w:style w:type="paragraph" w:customStyle="1" w:styleId="DHHSbody">
    <w:name w:val="DHHS body"/>
    <w:link w:val="DHHSbodyChar"/>
    <w:qFormat/>
    <w:rsid w:val="00C81575"/>
    <w:pPr>
      <w:spacing w:after="120" w:line="270" w:lineRule="atLeast"/>
    </w:pPr>
    <w:rPr>
      <w:rFonts w:ascii="Arial" w:eastAsia="Times" w:hAnsi="Arial" w:cs="Times New Roman"/>
      <w:sz w:val="20"/>
      <w:szCs w:val="20"/>
    </w:rPr>
  </w:style>
  <w:style w:type="table" w:styleId="TableGrid">
    <w:name w:val="Table Grid"/>
    <w:basedOn w:val="TableNormal"/>
    <w:uiPriority w:val="39"/>
    <w:rsid w:val="00C81575"/>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ullet1">
    <w:name w:val="DHHS bullet 1"/>
    <w:basedOn w:val="DHHSbody"/>
    <w:qFormat/>
    <w:rsid w:val="00C81575"/>
    <w:pPr>
      <w:numPr>
        <w:numId w:val="1"/>
      </w:numPr>
      <w:tabs>
        <w:tab w:val="num" w:pos="360"/>
      </w:tabs>
      <w:spacing w:after="40"/>
      <w:ind w:left="0" w:firstLine="0"/>
    </w:pPr>
  </w:style>
  <w:style w:type="paragraph" w:customStyle="1" w:styleId="DHHSbullet2">
    <w:name w:val="DHHS bullet 2"/>
    <w:basedOn w:val="DHHSbody"/>
    <w:uiPriority w:val="2"/>
    <w:qFormat/>
    <w:rsid w:val="00C81575"/>
    <w:pPr>
      <w:numPr>
        <w:ilvl w:val="1"/>
        <w:numId w:val="1"/>
      </w:numPr>
      <w:tabs>
        <w:tab w:val="num" w:pos="360"/>
      </w:tabs>
      <w:spacing w:after="40"/>
      <w:ind w:left="0" w:firstLine="0"/>
    </w:pPr>
  </w:style>
  <w:style w:type="numbering" w:customStyle="1" w:styleId="ZZBullets">
    <w:name w:val="ZZ Bullets"/>
    <w:rsid w:val="00C81575"/>
    <w:pPr>
      <w:numPr>
        <w:numId w:val="1"/>
      </w:numPr>
    </w:pPr>
  </w:style>
  <w:style w:type="character" w:customStyle="1" w:styleId="DHHSbodyChar">
    <w:name w:val="DHHS body Char"/>
    <w:link w:val="DHHSbody"/>
    <w:locked/>
    <w:rsid w:val="00C81575"/>
    <w:rPr>
      <w:rFonts w:ascii="Arial" w:eastAsia="Times"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Sans Light Plain" w:eastAsiaTheme="minorEastAsia" w:hAnsi="TheSans Light Plain"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1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1"/>
    <w:rsid w:val="00C81575"/>
    <w:rPr>
      <w:rFonts w:ascii="Cambria" w:eastAsia="Times New Roman" w:hAnsi="Cambria" w:cs="Times New Roman"/>
      <w:sz w:val="20"/>
      <w:szCs w:val="20"/>
    </w:rPr>
  </w:style>
  <w:style w:type="paragraph" w:styleId="Heading1">
    <w:name w:val="heading 1"/>
    <w:next w:val="DHHSbody"/>
    <w:link w:val="Heading1Char"/>
    <w:uiPriority w:val="1"/>
    <w:qFormat/>
    <w:rsid w:val="00C81575"/>
    <w:pPr>
      <w:keepNext/>
      <w:keepLines/>
      <w:spacing w:before="320" w:after="200" w:line="440" w:lineRule="atLeast"/>
      <w:outlineLvl w:val="0"/>
    </w:pPr>
    <w:rPr>
      <w:rFonts w:ascii="Arial" w:eastAsia="MS Gothic" w:hAnsi="Arial" w:cs="Arial"/>
      <w:bCs/>
      <w:color w:val="201547"/>
      <w:kern w:val="32"/>
      <w:sz w:val="36"/>
      <w:szCs w:val="40"/>
    </w:rPr>
  </w:style>
  <w:style w:type="paragraph" w:styleId="Heading2">
    <w:name w:val="heading 2"/>
    <w:next w:val="DHHSbody"/>
    <w:link w:val="Heading2Char"/>
    <w:uiPriority w:val="1"/>
    <w:qFormat/>
    <w:rsid w:val="00C81575"/>
    <w:pPr>
      <w:keepNext/>
      <w:keepLines/>
      <w:spacing w:before="240" w:after="90" w:line="320" w:lineRule="atLeast"/>
      <w:outlineLvl w:val="1"/>
    </w:pPr>
    <w:rPr>
      <w:rFonts w:ascii="Arial" w:eastAsia="Times New Roman" w:hAnsi="Arial" w:cs="Times New Roman"/>
      <w:b/>
      <w:color w:val="20154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1575"/>
    <w:rPr>
      <w:rFonts w:ascii="Arial" w:eastAsia="MS Gothic" w:hAnsi="Arial" w:cs="Arial"/>
      <w:bCs/>
      <w:color w:val="201547"/>
      <w:kern w:val="32"/>
      <w:sz w:val="36"/>
      <w:szCs w:val="40"/>
    </w:rPr>
  </w:style>
  <w:style w:type="character" w:customStyle="1" w:styleId="Heading2Char">
    <w:name w:val="Heading 2 Char"/>
    <w:basedOn w:val="DefaultParagraphFont"/>
    <w:link w:val="Heading2"/>
    <w:uiPriority w:val="1"/>
    <w:rsid w:val="00C81575"/>
    <w:rPr>
      <w:rFonts w:ascii="Arial" w:eastAsia="Times New Roman" w:hAnsi="Arial" w:cs="Times New Roman"/>
      <w:b/>
      <w:color w:val="201547"/>
      <w:sz w:val="28"/>
      <w:szCs w:val="28"/>
    </w:rPr>
  </w:style>
  <w:style w:type="paragraph" w:customStyle="1" w:styleId="DHHSbody">
    <w:name w:val="DHHS body"/>
    <w:link w:val="DHHSbodyChar"/>
    <w:qFormat/>
    <w:rsid w:val="00C81575"/>
    <w:pPr>
      <w:spacing w:after="120" w:line="270" w:lineRule="atLeast"/>
    </w:pPr>
    <w:rPr>
      <w:rFonts w:ascii="Arial" w:eastAsia="Times" w:hAnsi="Arial" w:cs="Times New Roman"/>
      <w:sz w:val="20"/>
      <w:szCs w:val="20"/>
    </w:rPr>
  </w:style>
  <w:style w:type="table" w:styleId="TableGrid">
    <w:name w:val="Table Grid"/>
    <w:basedOn w:val="TableNormal"/>
    <w:uiPriority w:val="39"/>
    <w:rsid w:val="00C81575"/>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ullet1">
    <w:name w:val="DHHS bullet 1"/>
    <w:basedOn w:val="DHHSbody"/>
    <w:qFormat/>
    <w:rsid w:val="00C81575"/>
    <w:pPr>
      <w:numPr>
        <w:numId w:val="1"/>
      </w:numPr>
      <w:tabs>
        <w:tab w:val="num" w:pos="360"/>
      </w:tabs>
      <w:spacing w:after="40"/>
      <w:ind w:left="0" w:firstLine="0"/>
    </w:pPr>
  </w:style>
  <w:style w:type="paragraph" w:customStyle="1" w:styleId="DHHSbullet2">
    <w:name w:val="DHHS bullet 2"/>
    <w:basedOn w:val="DHHSbody"/>
    <w:uiPriority w:val="2"/>
    <w:qFormat/>
    <w:rsid w:val="00C81575"/>
    <w:pPr>
      <w:numPr>
        <w:ilvl w:val="1"/>
        <w:numId w:val="1"/>
      </w:numPr>
      <w:tabs>
        <w:tab w:val="num" w:pos="360"/>
      </w:tabs>
      <w:spacing w:after="40"/>
      <w:ind w:left="0" w:firstLine="0"/>
    </w:pPr>
  </w:style>
  <w:style w:type="numbering" w:customStyle="1" w:styleId="ZZBullets">
    <w:name w:val="ZZ Bullets"/>
    <w:rsid w:val="00C81575"/>
    <w:pPr>
      <w:numPr>
        <w:numId w:val="1"/>
      </w:numPr>
    </w:pPr>
  </w:style>
  <w:style w:type="character" w:customStyle="1" w:styleId="DHHSbodyChar">
    <w:name w:val="DHHS body Char"/>
    <w:link w:val="DHHSbody"/>
    <w:locked/>
    <w:rsid w:val="00C81575"/>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1819</Characters>
  <Application>Microsoft Macintosh Word</Application>
  <DocSecurity>0</DocSecurity>
  <Lines>15</Lines>
  <Paragraphs>4</Paragraphs>
  <ScaleCrop>false</ScaleCrop>
  <Company>Peregrine Industrial</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Paynter</dc:creator>
  <cp:keywords/>
  <dc:description/>
  <cp:lastModifiedBy>Michael Paynter</cp:lastModifiedBy>
  <cp:revision>1</cp:revision>
  <dcterms:created xsi:type="dcterms:W3CDTF">2020-08-22T02:44:00Z</dcterms:created>
  <dcterms:modified xsi:type="dcterms:W3CDTF">2020-08-22T02:45:00Z</dcterms:modified>
</cp:coreProperties>
</file>